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Bold" w:hAnsi="NSPCC-Bold" w:cs="NSPCC-Bold"/>
          <w:b/>
          <w:bCs/>
          <w:sz w:val="28"/>
          <w:szCs w:val="28"/>
        </w:rPr>
      </w:pPr>
      <w:r w:rsidRPr="00F52CD7">
        <w:rPr>
          <w:rFonts w:ascii="NSPCC-Bold" w:hAnsi="NSPCC-Bold" w:cs="NSPCC-Bold"/>
          <w:b/>
          <w:bCs/>
          <w:sz w:val="28"/>
          <w:szCs w:val="28"/>
        </w:rPr>
        <w:t>Safeguarding standards for VCS organisations working with children and</w:t>
      </w:r>
      <w:bookmarkStart w:id="0" w:name="_GoBack"/>
      <w:bookmarkEnd w:id="0"/>
      <w:r w:rsidRPr="00F52CD7">
        <w:rPr>
          <w:rFonts w:ascii="NSPCC-Bold" w:hAnsi="NSPCC-Bold" w:cs="NSPCC-Bold"/>
          <w:b/>
          <w:bCs/>
          <w:sz w:val="28"/>
          <w:szCs w:val="28"/>
        </w:rPr>
        <w:t xml:space="preserve"> young people Working Together 2015,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Bold" w:hAnsi="NSPCC-Bold" w:cs="NSPCC-Bold"/>
          <w:b/>
          <w:bCs/>
          <w:sz w:val="28"/>
          <w:szCs w:val="28"/>
        </w:rPr>
      </w:pPr>
      <w:proofErr w:type="spellStart"/>
      <w:r w:rsidRPr="00F52CD7">
        <w:rPr>
          <w:rFonts w:ascii="NSPCC-Bold" w:hAnsi="NSPCC-Bold" w:cs="NSPCC-Bold"/>
          <w:b/>
          <w:bCs/>
          <w:sz w:val="28"/>
          <w:szCs w:val="28"/>
        </w:rPr>
        <w:t>ch</w:t>
      </w:r>
      <w:proofErr w:type="spellEnd"/>
      <w:r w:rsidRPr="00F52CD7">
        <w:rPr>
          <w:rFonts w:ascii="NSPCC-Bold" w:hAnsi="NSPCC-Bold" w:cs="NSPCC-Bold"/>
          <w:b/>
          <w:bCs/>
          <w:sz w:val="28"/>
          <w:szCs w:val="28"/>
        </w:rPr>
        <w:t xml:space="preserve"> 2, para 4 Section 11, Children Act 2004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Bold" w:hAnsi="NSPCC-Bold" w:cs="NSPCC-Bold"/>
          <w:b/>
          <w:bCs/>
          <w:sz w:val="28"/>
          <w:szCs w:val="28"/>
        </w:rPr>
      </w:pPr>
    </w:p>
    <w:p w:rsid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Bold" w:hAnsi="NSPCC-Bold" w:cs="NSPCC-Bold"/>
          <w:b/>
          <w:bCs/>
          <w:sz w:val="28"/>
          <w:szCs w:val="28"/>
        </w:rPr>
      </w:pPr>
      <w:r w:rsidRPr="00F52CD7">
        <w:rPr>
          <w:rFonts w:ascii="NSPCC-Bold" w:hAnsi="NSPCC-Bold" w:cs="NSPCC-Bold"/>
          <w:b/>
          <w:bCs/>
          <w:sz w:val="28"/>
          <w:szCs w:val="28"/>
        </w:rPr>
        <w:t xml:space="preserve">Section 11 requirements set out in Working Together 2015 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 xml:space="preserve">Culture of listening to and consulting with children 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Effective recruitment, selec</w:t>
      </w:r>
      <w:r>
        <w:rPr>
          <w:rFonts w:ascii="NSPCC-Light" w:hAnsi="NSPCC-Light" w:cs="NSPCC-Light"/>
          <w:sz w:val="28"/>
          <w:szCs w:val="28"/>
        </w:rPr>
        <w:t xml:space="preserve">tion and contractual procedures </w:t>
      </w:r>
      <w:r w:rsidRPr="00F52CD7">
        <w:rPr>
          <w:rFonts w:ascii="NSPCC-Light" w:hAnsi="NSPCC-Light" w:cs="NSPCC-Light"/>
          <w:sz w:val="28"/>
          <w:szCs w:val="28"/>
        </w:rPr>
        <w:t>including safeguarding checks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Staff/volunteer supervision, support, training, induction,</w:t>
      </w:r>
      <w:r>
        <w:rPr>
          <w:rFonts w:ascii="NSPCC-Light" w:hAnsi="NSPCC-Light" w:cs="NSPCC-Light"/>
          <w:sz w:val="28"/>
          <w:szCs w:val="28"/>
        </w:rPr>
        <w:t xml:space="preserve"> </w:t>
      </w:r>
      <w:r w:rsidRPr="00F52CD7">
        <w:rPr>
          <w:rFonts w:ascii="NSPCC-Light" w:hAnsi="NSPCC-Light" w:cs="NSPCC-Light"/>
          <w:sz w:val="28"/>
          <w:szCs w:val="28"/>
        </w:rPr>
        <w:t>review, competence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Staff aware of safeguarding policies and procedures including</w:t>
      </w:r>
      <w:r>
        <w:rPr>
          <w:rFonts w:ascii="NSPCC-Light" w:hAnsi="NSPCC-Light" w:cs="NSPCC-Light"/>
          <w:sz w:val="28"/>
          <w:szCs w:val="28"/>
        </w:rPr>
        <w:t xml:space="preserve"> </w:t>
      </w:r>
      <w:r w:rsidRPr="00F52CD7">
        <w:rPr>
          <w:rFonts w:ascii="NSPCC-Light" w:hAnsi="NSPCC-Light" w:cs="NSPCC-Light"/>
          <w:sz w:val="28"/>
          <w:szCs w:val="28"/>
        </w:rPr>
        <w:t>what to do if concerned about a child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 xml:space="preserve">Procedures for dealing </w:t>
      </w:r>
      <w:r>
        <w:rPr>
          <w:rFonts w:ascii="NSPCC-Light" w:hAnsi="NSPCC-Light" w:cs="NSPCC-Light"/>
          <w:sz w:val="28"/>
          <w:szCs w:val="28"/>
        </w:rPr>
        <w:t>with allegations against staff/</w:t>
      </w:r>
      <w:r w:rsidRPr="00F52CD7">
        <w:rPr>
          <w:rFonts w:ascii="NSPCC-Light" w:hAnsi="NSPCC-Light" w:cs="NSPCC-Light"/>
          <w:sz w:val="28"/>
          <w:szCs w:val="28"/>
        </w:rPr>
        <w:t>volunteers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Requirement to refer to DBS</w:t>
      </w:r>
      <w:r>
        <w:rPr>
          <w:rFonts w:ascii="NSPCC-Light" w:hAnsi="NSPCC-Light" w:cs="NSPCC-Light"/>
          <w:sz w:val="28"/>
          <w:szCs w:val="28"/>
        </w:rPr>
        <w:t xml:space="preserve"> and local authority designated </w:t>
      </w:r>
      <w:r w:rsidRPr="00F52CD7">
        <w:rPr>
          <w:rFonts w:ascii="NSPCC-Light" w:hAnsi="NSPCC-Light" w:cs="NSPCC-Light"/>
          <w:sz w:val="28"/>
          <w:szCs w:val="28"/>
        </w:rPr>
        <w:t>officer or team dealing with all</w:t>
      </w:r>
      <w:r>
        <w:rPr>
          <w:rFonts w:ascii="NSPCC-Light" w:hAnsi="NSPCC-Light" w:cs="NSPCC-Light"/>
          <w:sz w:val="28"/>
          <w:szCs w:val="28"/>
        </w:rPr>
        <w:t xml:space="preserve">egations against those who work </w:t>
      </w:r>
      <w:r w:rsidRPr="00F52CD7">
        <w:rPr>
          <w:rFonts w:ascii="NSPCC-Light" w:hAnsi="NSPCC-Light" w:cs="NSPCC-Light"/>
          <w:sz w:val="28"/>
          <w:szCs w:val="28"/>
        </w:rPr>
        <w:t>with children (formerly known as LADO)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Supportive environment for s</w:t>
      </w:r>
      <w:r>
        <w:rPr>
          <w:rFonts w:ascii="NSPCC-Light" w:hAnsi="NSPCC-Light" w:cs="NSPCC-Light"/>
          <w:sz w:val="28"/>
          <w:szCs w:val="28"/>
        </w:rPr>
        <w:t xml:space="preserve">taff/volunteers that encourages </w:t>
      </w:r>
      <w:r w:rsidRPr="00F52CD7">
        <w:rPr>
          <w:rFonts w:ascii="NSPCC-Light" w:hAnsi="NSPCC-Light" w:cs="NSPCC-Light"/>
          <w:sz w:val="28"/>
          <w:szCs w:val="28"/>
        </w:rPr>
        <w:t>sharing of safeguarding concerns and provides clear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whistleblowing procedures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 xml:space="preserve">Clear lines of accountability for safeguarding arrangements 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Senior board level/management commitment to safeguarding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Designated professional lead for safeguarding</w:t>
      </w: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</w:p>
    <w:p w:rsidR="00F52CD7" w:rsidRPr="00F52CD7" w:rsidRDefault="00F52CD7" w:rsidP="00F52CD7">
      <w:pPr>
        <w:autoSpaceDE w:val="0"/>
        <w:autoSpaceDN w:val="0"/>
        <w:adjustRightInd w:val="0"/>
        <w:spacing w:after="0" w:line="240" w:lineRule="auto"/>
        <w:rPr>
          <w:rFonts w:ascii="NSPCC-Light" w:hAnsi="NSPCC-Light" w:cs="NSPCC-Light"/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Arrangements for information sharing with other professionals</w:t>
      </w:r>
    </w:p>
    <w:p w:rsidR="00AD48F0" w:rsidRPr="00F52CD7" w:rsidRDefault="00F52CD7" w:rsidP="00F52CD7">
      <w:pPr>
        <w:rPr>
          <w:sz w:val="28"/>
          <w:szCs w:val="28"/>
        </w:rPr>
      </w:pPr>
      <w:r w:rsidRPr="00F52CD7">
        <w:rPr>
          <w:rFonts w:ascii="NSPCC-Light" w:hAnsi="NSPCC-Light" w:cs="NSPCC-Light"/>
          <w:sz w:val="28"/>
          <w:szCs w:val="28"/>
        </w:rPr>
        <w:t>and LSCB</w:t>
      </w:r>
    </w:p>
    <w:sectPr w:rsidR="00AD48F0" w:rsidRPr="00F52CD7" w:rsidSect="00654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PC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PC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D7"/>
    <w:rsid w:val="000546F0"/>
    <w:rsid w:val="006548EC"/>
    <w:rsid w:val="00AD48F0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07144-37CC-4AED-BEA2-6B09DA54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Vassie</dc:creator>
  <cp:keywords/>
  <dc:description/>
  <cp:lastModifiedBy>Fatima Salmani</cp:lastModifiedBy>
  <cp:revision>2</cp:revision>
  <dcterms:created xsi:type="dcterms:W3CDTF">2017-11-03T12:38:00Z</dcterms:created>
  <dcterms:modified xsi:type="dcterms:W3CDTF">2017-11-03T12:38:00Z</dcterms:modified>
</cp:coreProperties>
</file>